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3E6" w:rsidRDefault="000C33E6" w:rsidP="000C33E6">
      <w:pPr>
        <w:jc w:val="center"/>
      </w:pPr>
      <w:r>
        <w:rPr>
          <w:b/>
        </w:rPr>
        <w:t>Chapter 7—Specialty Packaging Corporation, Part A</w:t>
      </w:r>
    </w:p>
    <w:p w:rsidR="000C33E6" w:rsidRDefault="000C33E6" w:rsidP="0051583F">
      <w:bookmarkStart w:id="0" w:name="_GoBack"/>
      <w:bookmarkEnd w:id="0"/>
    </w:p>
    <w:p w:rsidR="0051583F" w:rsidRDefault="0051583F" w:rsidP="0051583F">
      <w:r>
        <w:t xml:space="preserve">The results for this case are obtained using the accompanying spreadsheet </w:t>
      </w:r>
      <w:r>
        <w:rPr>
          <w:i/>
        </w:rPr>
        <w:t>Chapter 7</w:t>
      </w:r>
      <w:r w:rsidR="00142381">
        <w:rPr>
          <w:i/>
        </w:rPr>
        <w:t>—</w:t>
      </w:r>
      <w:r w:rsidR="00E00AE5">
        <w:rPr>
          <w:i/>
        </w:rPr>
        <w:t>S</w:t>
      </w:r>
      <w:r w:rsidR="00CA524B">
        <w:rPr>
          <w:i/>
        </w:rPr>
        <w:t>PC case study answer</w:t>
      </w:r>
      <w:r>
        <w:t>. Given the clear seasonal pattern in the data, the forecast is made using the static forecasting method</w:t>
      </w:r>
      <w:r w:rsidR="00CA524B">
        <w:t xml:space="preserve"> (with trend and seasonality)</w:t>
      </w:r>
      <w:r>
        <w:t xml:space="preserve"> and Winter’s model (both outlined in Chapter 7</w:t>
      </w:r>
      <w:r w:rsidR="000C2A31">
        <w:t>)</w:t>
      </w:r>
      <w:r>
        <w:t>.</w:t>
      </w:r>
    </w:p>
    <w:p w:rsidR="0051583F" w:rsidRDefault="0051583F" w:rsidP="0051583F">
      <w:r>
        <w:rPr>
          <w:u w:val="single"/>
        </w:rPr>
        <w:t>Static Forecasting Method</w:t>
      </w:r>
    </w:p>
    <w:p w:rsidR="0051583F" w:rsidRDefault="00901D65" w:rsidP="0051583F">
      <w:r>
        <w:t xml:space="preserve">The result for the static forecasting method is contained in the worksheet </w:t>
      </w:r>
      <w:r>
        <w:rPr>
          <w:i/>
        </w:rPr>
        <w:t>Static Forecast</w:t>
      </w:r>
      <w:r>
        <w:t xml:space="preserve">. For </w:t>
      </w:r>
      <w:r w:rsidR="00D20C8A">
        <w:t>b</w:t>
      </w:r>
      <w:r w:rsidR="004A7B00">
        <w:t>lack</w:t>
      </w:r>
      <w:r>
        <w:t xml:space="preserve"> </w:t>
      </w:r>
      <w:r w:rsidR="00D20C8A">
        <w:t>p</w:t>
      </w:r>
      <w:r>
        <w:t>lastic, the first step is to obtain deseasonalized demand using Equation 7.2. This is obtained in Cells D31:D46. The next step is to run a regression between deseasonalized demand</w:t>
      </w:r>
      <w:r w:rsidR="00FB0997">
        <w:t>s</w:t>
      </w:r>
      <w:r>
        <w:t xml:space="preserve"> and period value (contained in Cell B31:46). The results of the regression are contained in Cells R28:Z47. The deseasonalized demand in period 0 is given by the Intercept in Cell S46. The trend is given by the value in Cell S47. These two values are used to obtain the deseasonalized demand values in Cells E29:E48</w:t>
      </w:r>
      <w:r w:rsidR="00B40437">
        <w:t xml:space="preserve"> based on the regression</w:t>
      </w:r>
      <w:r>
        <w:t>. The ratio of the actual demand in Cells C29:48 and the deseasonalized demand in Cells E29:E48 is used to estimate the seasonal factors in Cells F29:F48.</w:t>
      </w:r>
      <w:r w:rsidR="00BA2749">
        <w:t xml:space="preserve"> The seasonal factors are then averaged in Cells S53:S56. The average seasonal factors are then used to evaluate the forecasts in Cells G29:G60 using Equation 7.1. The results are as follows:</w:t>
      </w:r>
    </w:p>
    <w:p w:rsidR="00BA2749" w:rsidRDefault="00B40437" w:rsidP="0051583F">
      <w:r w:rsidRPr="00B40437">
        <w:rPr>
          <w:noProof/>
        </w:rPr>
        <w:lastRenderedPageBreak/>
        <w:drawing>
          <wp:inline distT="0" distB="0" distL="0" distR="0" wp14:anchorId="111AF8AA" wp14:editId="3CC965E3">
            <wp:extent cx="5943600" cy="6515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6515735"/>
                    </a:xfrm>
                    <a:prstGeom prst="rect">
                      <a:avLst/>
                    </a:prstGeom>
                  </pic:spPr>
                </pic:pic>
              </a:graphicData>
            </a:graphic>
          </wp:inline>
        </w:drawing>
      </w:r>
    </w:p>
    <w:p w:rsidR="00BA2749" w:rsidRDefault="00215D2D" w:rsidP="0051583F">
      <w:r>
        <w:t>The various error estimates are shown in Cells I29:P48.</w:t>
      </w:r>
    </w:p>
    <w:p w:rsidR="000C2A31" w:rsidRDefault="000C2A31">
      <w:r>
        <w:br w:type="page"/>
      </w:r>
    </w:p>
    <w:p w:rsidR="00215D2D" w:rsidRDefault="00215D2D" w:rsidP="0051583F">
      <w:r>
        <w:lastRenderedPageBreak/>
        <w:t xml:space="preserve">For </w:t>
      </w:r>
      <w:r w:rsidR="00D20C8A">
        <w:t>c</w:t>
      </w:r>
      <w:r w:rsidR="004A7B00">
        <w:t>lear</w:t>
      </w:r>
      <w:r>
        <w:t xml:space="preserve"> plastic</w:t>
      </w:r>
      <w:r w:rsidR="00142381">
        <w:t>,</w:t>
      </w:r>
      <w:r>
        <w:t xml:space="preserve"> the methodology used is identical except that the results are shown in Cells A64:Z96. The static forecast for </w:t>
      </w:r>
      <w:r w:rsidR="00D20C8A">
        <w:t>c</w:t>
      </w:r>
      <w:r w:rsidR="004A7B00">
        <w:t>lear</w:t>
      </w:r>
      <w:r>
        <w:t xml:space="preserve"> </w:t>
      </w:r>
      <w:r w:rsidR="00D20C8A">
        <w:t>p</w:t>
      </w:r>
      <w:r>
        <w:t>lastic is as follows:</w:t>
      </w:r>
    </w:p>
    <w:p w:rsidR="00215D2D" w:rsidRDefault="00B40437" w:rsidP="0051583F">
      <w:r w:rsidRPr="00B40437">
        <w:rPr>
          <w:noProof/>
        </w:rPr>
        <w:drawing>
          <wp:inline distT="0" distB="0" distL="0" distR="0" wp14:anchorId="5656C6C4" wp14:editId="7B521E18">
            <wp:extent cx="5943600" cy="6299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6299200"/>
                    </a:xfrm>
                    <a:prstGeom prst="rect">
                      <a:avLst/>
                    </a:prstGeom>
                  </pic:spPr>
                </pic:pic>
              </a:graphicData>
            </a:graphic>
          </wp:inline>
        </w:drawing>
      </w:r>
    </w:p>
    <w:p w:rsidR="004F2BAC" w:rsidRDefault="004F2BAC">
      <w:r>
        <w:br w:type="page"/>
      </w:r>
    </w:p>
    <w:p w:rsidR="004F2BAC" w:rsidRDefault="004F2BAC" w:rsidP="0051583F">
      <w:r>
        <w:rPr>
          <w:u w:val="single"/>
        </w:rPr>
        <w:lastRenderedPageBreak/>
        <w:t>Winter’s Model</w:t>
      </w:r>
    </w:p>
    <w:p w:rsidR="004F2BAC" w:rsidRDefault="004F2BAC" w:rsidP="0051583F">
      <w:pPr>
        <w:rPr>
          <w:rFonts w:cstheme="minorHAnsi"/>
        </w:rPr>
      </w:pPr>
      <w:r>
        <w:t xml:space="preserve">The evaluations for Winter’s model are shown in worksheet </w:t>
      </w:r>
      <w:r>
        <w:rPr>
          <w:i/>
        </w:rPr>
        <w:t>Winter</w:t>
      </w:r>
      <w:r>
        <w:t>. The first step in Winter’s model is to obtain initial estimates of level, trend</w:t>
      </w:r>
      <w:r w:rsidR="00212643">
        <w:t>,</w:t>
      </w:r>
      <w:r>
        <w:t xml:space="preserve"> and seasonal factors. This is done exactly as in the Static Forecast method, except that the Intercept in Cell S46 (for Clear Plastic) becomes the level in period 0 (Cell D29), Cell S47 becomes the trend in period 0 (Cell E29) with initial seasonal factors being estimated in Cells S53:S56 exactly as for the Static Model. </w:t>
      </w:r>
      <w:r w:rsidR="00322E5D">
        <w:t>The level, trend</w:t>
      </w:r>
      <w:r w:rsidR="00212643">
        <w:t>,</w:t>
      </w:r>
      <w:r w:rsidR="00322E5D">
        <w:t xml:space="preserve"> and seasonal factors are then updated using E</w:t>
      </w:r>
      <w:r w:rsidR="00F875E9">
        <w:t>quations 7.18</w:t>
      </w:r>
      <w:r w:rsidR="00212643">
        <w:t>–</w:t>
      </w:r>
      <w:r w:rsidR="00F875E9">
        <w:t xml:space="preserve">7.20 with values of </w:t>
      </w:r>
      <w:r w:rsidR="00F875E9">
        <w:rPr>
          <w:rFonts w:cstheme="minorHAnsi"/>
        </w:rPr>
        <w:t>α, β, and γ as shown in Cells K20:22. In the spreadsheet</w:t>
      </w:r>
      <w:r w:rsidR="00D20C8A">
        <w:rPr>
          <w:rFonts w:cstheme="minorHAnsi"/>
        </w:rPr>
        <w:t>,</w:t>
      </w:r>
      <w:r w:rsidR="00F875E9">
        <w:rPr>
          <w:rFonts w:cstheme="minorHAnsi"/>
        </w:rPr>
        <w:t xml:space="preserve"> the values of α, β, and γ are chosen using Excel to minimize MAPE (in Cell O49). These may also be chosen to minimize MAD (Cell M49) or MSE (Cell L49).</w:t>
      </w:r>
      <w:r w:rsidR="002071F4">
        <w:rPr>
          <w:rFonts w:cstheme="minorHAnsi"/>
        </w:rPr>
        <w:t xml:space="preserve"> </w:t>
      </w:r>
    </w:p>
    <w:p w:rsidR="000C2A31" w:rsidRDefault="000C2A31" w:rsidP="0051583F">
      <w:pPr>
        <w:rPr>
          <w:rFonts w:cstheme="minorHAnsi"/>
        </w:rPr>
      </w:pPr>
      <w:r>
        <w:rPr>
          <w:rFonts w:cstheme="minorHAnsi"/>
        </w:rPr>
        <w:t xml:space="preserve">For </w:t>
      </w:r>
      <w:r w:rsidR="00D20C8A">
        <w:rPr>
          <w:rFonts w:cstheme="minorHAnsi"/>
        </w:rPr>
        <w:t>b</w:t>
      </w:r>
      <w:r>
        <w:rPr>
          <w:rFonts w:cstheme="minorHAnsi"/>
        </w:rPr>
        <w:t xml:space="preserve">lack plastic, the optimal values of the smoothing constants (to minimize MAPE) turn out to be α </w:t>
      </w:r>
      <w:r w:rsidR="00D6049E">
        <w:rPr>
          <w:rFonts w:cstheme="minorHAnsi"/>
        </w:rPr>
        <w:t>=</w:t>
      </w:r>
      <w:r>
        <w:rPr>
          <w:rFonts w:cstheme="minorHAnsi"/>
        </w:rPr>
        <w:t xml:space="preserve"> 0, β = 0.04, γ = 0. </w:t>
      </w:r>
      <w:r w:rsidR="00D6049E">
        <w:rPr>
          <w:rFonts w:cstheme="minorHAnsi"/>
        </w:rPr>
        <w:t>The solution turns out to be pretty much the same as for the static case.</w:t>
      </w:r>
    </w:p>
    <w:p w:rsidR="00D6049E" w:rsidRDefault="00D6049E" w:rsidP="0051583F">
      <w:pPr>
        <w:rPr>
          <w:rFonts w:cstheme="minorHAnsi"/>
        </w:rPr>
      </w:pPr>
      <w:r>
        <w:rPr>
          <w:rFonts w:cstheme="minorHAnsi"/>
        </w:rPr>
        <w:t>For clear plastic, the optimal values of the smoothing constants (to minimize MAPE) turn out to be α = 0, β = 0, γ = 0. The solution turns out to be the same as for the static case.</w:t>
      </w:r>
    </w:p>
    <w:p w:rsidR="00D6049E" w:rsidRPr="004F2BAC" w:rsidRDefault="00D6049E" w:rsidP="0051583F"/>
    <w:sectPr w:rsidR="00D6049E" w:rsidRPr="004F2BAC" w:rsidSect="00F0112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986" w:rsidRDefault="00AE6986" w:rsidP="00E00AE5">
      <w:pPr>
        <w:spacing w:after="0" w:line="240" w:lineRule="auto"/>
      </w:pPr>
      <w:r>
        <w:separator/>
      </w:r>
    </w:p>
  </w:endnote>
  <w:endnote w:type="continuationSeparator" w:id="0">
    <w:p w:rsidR="00AE6986" w:rsidRDefault="00AE6986" w:rsidP="00E00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4059929"/>
      <w:docPartObj>
        <w:docPartGallery w:val="Page Numbers (Bottom of Page)"/>
        <w:docPartUnique/>
      </w:docPartObj>
    </w:sdtPr>
    <w:sdtEndPr>
      <w:rPr>
        <w:noProof/>
      </w:rPr>
    </w:sdtEndPr>
    <w:sdtContent>
      <w:p w:rsidR="00E00AE5" w:rsidRDefault="0006055A">
        <w:pPr>
          <w:pStyle w:val="Footer"/>
          <w:jc w:val="center"/>
        </w:pPr>
        <w:r>
          <w:fldChar w:fldCharType="begin"/>
        </w:r>
        <w:r w:rsidR="00E00AE5">
          <w:instrText xml:space="preserve"> PAGE   \* MERGEFORMAT </w:instrText>
        </w:r>
        <w:r>
          <w:fldChar w:fldCharType="separate"/>
        </w:r>
        <w:r w:rsidR="000C33E6">
          <w:rPr>
            <w:noProof/>
          </w:rPr>
          <w:t>1</w:t>
        </w:r>
        <w:r>
          <w:rPr>
            <w:noProof/>
          </w:rPr>
          <w:fldChar w:fldCharType="end"/>
        </w:r>
      </w:p>
    </w:sdtContent>
  </w:sdt>
  <w:p w:rsidR="00E00AE5" w:rsidRDefault="00024D3B">
    <w:pPr>
      <w:pStyle w:val="Footer"/>
    </w:pPr>
    <w:r>
      <w:t>Copyright © 2019 Pearson Education, Inc.</w:t>
    </w:r>
    <w:r>
      <w:tab/>
    </w:r>
    <w:r>
      <w:tab/>
    </w:r>
    <w:r>
      <w:rPr>
        <w:noProof/>
      </w:rPr>
      <w:drawing>
        <wp:inline distT="0" distB="0" distL="0" distR="0" wp14:anchorId="2F56D551" wp14:editId="31424D8F">
          <wp:extent cx="648491"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1111843_High 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8491" cy="45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986" w:rsidRDefault="00AE6986" w:rsidP="00E00AE5">
      <w:pPr>
        <w:spacing w:after="0" w:line="240" w:lineRule="auto"/>
      </w:pPr>
      <w:r>
        <w:separator/>
      </w:r>
    </w:p>
  </w:footnote>
  <w:footnote w:type="continuationSeparator" w:id="0">
    <w:p w:rsidR="00AE6986" w:rsidRDefault="00AE6986" w:rsidP="00E00A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AE5" w:rsidRDefault="00E00AE5" w:rsidP="00E00AE5">
    <w:pP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1583F"/>
    <w:rsid w:val="00024D3B"/>
    <w:rsid w:val="0006055A"/>
    <w:rsid w:val="000C2A31"/>
    <w:rsid w:val="000C33E6"/>
    <w:rsid w:val="000D6E31"/>
    <w:rsid w:val="000F6FE7"/>
    <w:rsid w:val="0010520B"/>
    <w:rsid w:val="00142381"/>
    <w:rsid w:val="001B5CAE"/>
    <w:rsid w:val="002071F4"/>
    <w:rsid w:val="00212643"/>
    <w:rsid w:val="00215D2D"/>
    <w:rsid w:val="00322E5D"/>
    <w:rsid w:val="004965BC"/>
    <w:rsid w:val="004A7B00"/>
    <w:rsid w:val="004F2BAC"/>
    <w:rsid w:val="00510885"/>
    <w:rsid w:val="0051583F"/>
    <w:rsid w:val="00901D65"/>
    <w:rsid w:val="00A51BEE"/>
    <w:rsid w:val="00A93FBD"/>
    <w:rsid w:val="00AE6986"/>
    <w:rsid w:val="00AF382D"/>
    <w:rsid w:val="00B40437"/>
    <w:rsid w:val="00BA2749"/>
    <w:rsid w:val="00BE2281"/>
    <w:rsid w:val="00CA524B"/>
    <w:rsid w:val="00D20C8A"/>
    <w:rsid w:val="00D6049E"/>
    <w:rsid w:val="00E00AE5"/>
    <w:rsid w:val="00E8244C"/>
    <w:rsid w:val="00F01125"/>
    <w:rsid w:val="00F875E9"/>
    <w:rsid w:val="00FB0997"/>
    <w:rsid w:val="00FC7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6AF44"/>
  <w15:docId w15:val="{03B5E8C5-82EC-427C-96B5-15914C1CA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1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2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749"/>
    <w:rPr>
      <w:rFonts w:ascii="Tahoma" w:hAnsi="Tahoma" w:cs="Tahoma"/>
      <w:sz w:val="16"/>
      <w:szCs w:val="16"/>
    </w:rPr>
  </w:style>
  <w:style w:type="paragraph" w:styleId="Header">
    <w:name w:val="header"/>
    <w:basedOn w:val="Normal"/>
    <w:link w:val="HeaderChar"/>
    <w:uiPriority w:val="99"/>
    <w:unhideWhenUsed/>
    <w:rsid w:val="00E00A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AE5"/>
  </w:style>
  <w:style w:type="paragraph" w:styleId="Footer">
    <w:name w:val="footer"/>
    <w:basedOn w:val="Normal"/>
    <w:link w:val="FooterChar"/>
    <w:uiPriority w:val="99"/>
    <w:unhideWhenUsed/>
    <w:rsid w:val="00E00A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AE5"/>
  </w:style>
  <w:style w:type="character" w:styleId="CommentReference">
    <w:name w:val="annotation reference"/>
    <w:basedOn w:val="DefaultParagraphFont"/>
    <w:uiPriority w:val="99"/>
    <w:semiHidden/>
    <w:unhideWhenUsed/>
    <w:rsid w:val="00142381"/>
    <w:rPr>
      <w:sz w:val="16"/>
      <w:szCs w:val="16"/>
    </w:rPr>
  </w:style>
  <w:style w:type="paragraph" w:styleId="CommentText">
    <w:name w:val="annotation text"/>
    <w:basedOn w:val="Normal"/>
    <w:link w:val="CommentTextChar"/>
    <w:uiPriority w:val="99"/>
    <w:semiHidden/>
    <w:unhideWhenUsed/>
    <w:rsid w:val="00142381"/>
    <w:pPr>
      <w:spacing w:line="240" w:lineRule="auto"/>
    </w:pPr>
    <w:rPr>
      <w:sz w:val="20"/>
      <w:szCs w:val="20"/>
    </w:rPr>
  </w:style>
  <w:style w:type="character" w:customStyle="1" w:styleId="CommentTextChar">
    <w:name w:val="Comment Text Char"/>
    <w:basedOn w:val="DefaultParagraphFont"/>
    <w:link w:val="CommentText"/>
    <w:uiPriority w:val="99"/>
    <w:semiHidden/>
    <w:rsid w:val="00142381"/>
    <w:rPr>
      <w:sz w:val="20"/>
      <w:szCs w:val="20"/>
    </w:rPr>
  </w:style>
  <w:style w:type="paragraph" w:styleId="CommentSubject">
    <w:name w:val="annotation subject"/>
    <w:basedOn w:val="CommentText"/>
    <w:next w:val="CommentText"/>
    <w:link w:val="CommentSubjectChar"/>
    <w:uiPriority w:val="99"/>
    <w:semiHidden/>
    <w:unhideWhenUsed/>
    <w:rsid w:val="00142381"/>
    <w:rPr>
      <w:b/>
      <w:bCs/>
    </w:rPr>
  </w:style>
  <w:style w:type="character" w:customStyle="1" w:styleId="CommentSubjectChar">
    <w:name w:val="Comment Subject Char"/>
    <w:basedOn w:val="CommentTextChar"/>
    <w:link w:val="CommentSubject"/>
    <w:uiPriority w:val="99"/>
    <w:semiHidden/>
    <w:rsid w:val="00142381"/>
    <w:rPr>
      <w:b/>
      <w:bCs/>
      <w:sz w:val="20"/>
      <w:szCs w:val="20"/>
    </w:rPr>
  </w:style>
  <w:style w:type="paragraph" w:styleId="Revision">
    <w:name w:val="Revision"/>
    <w:hidden/>
    <w:uiPriority w:val="99"/>
    <w:semiHidden/>
    <w:rsid w:val="001423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Specialty Packaging Corporation</vt:lpstr>
    </vt:vector>
  </TitlesOfParts>
  <Company>Kellogg School of Management</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Specialty Packaging Corporation</dc:title>
  <dc:subject>Supply Chain Management - 6th Edition</dc:subject>
  <dc:creator>Sunil Chopra &amp; Jay Mabe</dc:creator>
  <cp:lastModifiedBy>Mirano, Ronel</cp:lastModifiedBy>
  <cp:revision>17</cp:revision>
  <dcterms:created xsi:type="dcterms:W3CDTF">2014-07-09T20:26:00Z</dcterms:created>
  <dcterms:modified xsi:type="dcterms:W3CDTF">2017-10-23T08:45:00Z</dcterms:modified>
</cp:coreProperties>
</file>